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84DE" w14:textId="3828EBB8" w:rsidR="00945043" w:rsidRPr="00CC17C3" w:rsidRDefault="00CC17C3" w:rsidP="00945043">
      <w:pPr>
        <w:widowControl w:val="0"/>
        <w:jc w:val="center"/>
        <w:rPr>
          <w:rFonts w:ascii="Century Gothic" w:hAnsi="Century Gothic" w:cs="Calibri"/>
          <w:b/>
          <w:bCs/>
          <w:sz w:val="48"/>
          <w:szCs w:val="48"/>
          <w14:ligatures w14:val="none"/>
        </w:rPr>
      </w:pPr>
      <w:r>
        <w:rPr>
          <w:rFonts w:ascii="Times New Roman" w:hAnsi="Times New Roman" w:cs="Times New Roman"/>
          <w:noProof/>
          <w:kern w:val="0"/>
          <w14:ligatures w14:val="none"/>
        </w:rPr>
        <mc:AlternateContent>
          <mc:Choice Requires="wpg">
            <w:drawing>
              <wp:anchor distT="0" distB="0" distL="114300" distR="114300" simplePos="0" relativeHeight="251659264" behindDoc="0" locked="0" layoutInCell="1" allowOverlap="1" wp14:anchorId="14E7B848" wp14:editId="18954BBF">
                <wp:simplePos x="0" y="0"/>
                <wp:positionH relativeFrom="column">
                  <wp:posOffset>0</wp:posOffset>
                </wp:positionH>
                <wp:positionV relativeFrom="paragraph">
                  <wp:posOffset>-635</wp:posOffset>
                </wp:positionV>
                <wp:extent cx="5747385" cy="1372954"/>
                <wp:effectExtent l="0" t="0" r="24765" b="0"/>
                <wp:wrapNone/>
                <wp:docPr id="99232151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7385" cy="1372954"/>
                          <a:chOff x="1072900" y="1082622"/>
                          <a:chExt cx="57476" cy="13727"/>
                        </a:xfrm>
                      </wpg:grpSpPr>
                      <wps:wsp>
                        <wps:cNvPr id="334521163" name="Text Box 3"/>
                        <wps:cNvSpPr txBox="1">
                          <a:spLocks noChangeArrowheads="1"/>
                        </wps:cNvSpPr>
                        <wps:spPr bwMode="auto">
                          <a:xfrm>
                            <a:off x="1072900" y="1085075"/>
                            <a:ext cx="57476" cy="9391"/>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864AEEB" w14:textId="77777777" w:rsidR="00CC17C3" w:rsidRDefault="00CC17C3" w:rsidP="00CC17C3">
                              <w:pPr>
                                <w:widowControl w:val="0"/>
                                <w:spacing w:after="0"/>
                                <w:jc w:val="center"/>
                                <w:rPr>
                                  <w:rFonts w:ascii="Century Gothic" w:hAnsi="Century Gothic"/>
                                  <w:color w:val="3F3F3F"/>
                                  <w14:ligatures w14:val="none"/>
                                </w:rPr>
                              </w:pPr>
                              <w:r>
                                <w:rPr>
                                  <w:rFonts w:ascii="Century Gothic" w:hAnsi="Century Gothic"/>
                                  <w:color w:val="3F3F3F"/>
                                  <w14:ligatures w14:val="none"/>
                                </w:rPr>
                                <w:t> </w:t>
                              </w:r>
                            </w:p>
                            <w:p w14:paraId="19971696" w14:textId="77777777" w:rsidR="00CC17C3" w:rsidRDefault="00CC17C3" w:rsidP="00CC17C3">
                              <w:pPr>
                                <w:widowControl w:val="0"/>
                                <w:spacing w:after="0"/>
                                <w:jc w:val="center"/>
                                <w:rPr>
                                  <w:rFonts w:ascii="Century Gothic" w:hAnsi="Century Gothic"/>
                                  <w:b/>
                                  <w:bCs/>
                                  <w:color w:val="3F3F3F"/>
                                  <w14:ligatures w14:val="none"/>
                                </w:rPr>
                              </w:pPr>
                              <w:r>
                                <w:rPr>
                                  <w:rFonts w:ascii="Century Gothic" w:hAnsi="Century Gothic"/>
                                  <w:b/>
                                  <w:bCs/>
                                  <w:color w:val="3F3F3F"/>
                                  <w14:ligatures w14:val="none"/>
                                </w:rPr>
                                <w:t>Mowbray Square Medical Centre, Harrogate, North Yorkshire HG1 5AR</w:t>
                              </w:r>
                            </w:p>
                            <w:p w14:paraId="544A2838" w14:textId="77777777" w:rsidR="00CC17C3" w:rsidRDefault="00CC17C3" w:rsidP="00CC17C3">
                              <w:pPr>
                                <w:widowControl w:val="0"/>
                                <w:jc w:val="center"/>
                                <w:rPr>
                                  <w:rFonts w:ascii="Century Gothic" w:hAnsi="Century Gothic"/>
                                  <w:b/>
                                  <w:bCs/>
                                  <w:color w:val="3F3F3F"/>
                                  <w14:ligatures w14:val="none"/>
                                </w:rPr>
                              </w:pPr>
                              <w:r>
                                <w:rPr>
                                  <w:rFonts w:ascii="Century Gothic" w:hAnsi="Century Gothic"/>
                                  <w:b/>
                                  <w:bCs/>
                                  <w:color w:val="3F3F3F"/>
                                  <w14:ligatures w14:val="none"/>
                                </w:rPr>
                                <w:t xml:space="preserve"> 01423 503218      spa.surgery@nhs.net</w:t>
                              </w:r>
                            </w:p>
                            <w:p w14:paraId="3BF5E13C" w14:textId="77777777" w:rsidR="00CC17C3" w:rsidRDefault="00CC17C3" w:rsidP="00CC17C3">
                              <w:pPr>
                                <w:widowControl w:val="0"/>
                                <w:jc w:val="center"/>
                                <w:rPr>
                                  <w:rFonts w:ascii="Century Gothic" w:hAnsi="Century Gothic"/>
                                  <w:color w:val="3F3F3F"/>
                                  <w14:ligatures w14:val="none"/>
                                </w:rPr>
                              </w:pPr>
                              <w:r>
                                <w:rPr>
                                  <w:rFonts w:ascii="Century Gothic" w:hAnsi="Century Gothic"/>
                                  <w:color w:val="3F3F3F"/>
                                  <w14:ligatures w14:val="none"/>
                                </w:rPr>
                                <w:t> </w:t>
                              </w:r>
                            </w:p>
                          </w:txbxContent>
                        </wps:txbx>
                        <wps:bodyPr rot="0" vert="horz" wrap="square" lIns="36576" tIns="36576" rIns="36576" bIns="36576" anchor="t" anchorCtr="0" upright="1">
                          <a:noAutofit/>
                        </wps:bodyPr>
                      </wps:wsp>
                      <wps:wsp>
                        <wps:cNvPr id="1738281207" name="Text Box 4"/>
                        <wps:cNvSpPr txBox="1">
                          <a:spLocks noChangeArrowheads="1"/>
                        </wps:cNvSpPr>
                        <wps:spPr bwMode="auto">
                          <a:xfrm>
                            <a:off x="1086231" y="1082622"/>
                            <a:ext cx="29511" cy="4172"/>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2CE7C0F" w14:textId="77777777" w:rsidR="00CC17C3" w:rsidRDefault="00CC17C3" w:rsidP="00CC17C3">
                              <w:pPr>
                                <w:widowControl w:val="0"/>
                                <w:jc w:val="center"/>
                                <w:rPr>
                                  <w:rFonts w:ascii="Century Gothic" w:hAnsi="Century Gothic"/>
                                  <w:b/>
                                  <w:bCs/>
                                  <w:sz w:val="48"/>
                                  <w:szCs w:val="48"/>
                                  <w14:ligatures w14:val="none"/>
                                </w:rPr>
                              </w:pPr>
                              <w:r>
                                <w:rPr>
                                  <w:rFonts w:ascii="Century Gothic" w:hAnsi="Century Gothic"/>
                                  <w:b/>
                                  <w:bCs/>
                                  <w:sz w:val="48"/>
                                  <w:szCs w:val="48"/>
                                  <w14:ligatures w14:val="none"/>
                                </w:rPr>
                                <w:t>THE SPA SURGERY</w:t>
                              </w:r>
                            </w:p>
                          </w:txbxContent>
                        </wps:txbx>
                        <wps:bodyPr rot="0" vert="horz" wrap="square" lIns="36576" tIns="36576" rIns="36576" bIns="36576" anchor="t" anchorCtr="0" upright="1">
                          <a:noAutofit/>
                        </wps:bodyPr>
                      </wps:wsp>
                      <wps:wsp>
                        <wps:cNvPr id="1688779315" name="Text Box 5"/>
                        <wps:cNvSpPr txBox="1">
                          <a:spLocks noChangeArrowheads="1"/>
                        </wps:cNvSpPr>
                        <wps:spPr bwMode="auto">
                          <a:xfrm>
                            <a:off x="1083266" y="1092972"/>
                            <a:ext cx="35732" cy="337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67A2D4F" w14:textId="77777777" w:rsidR="00CC17C3" w:rsidRPr="00CC17C3" w:rsidRDefault="00CC17C3" w:rsidP="00CC17C3">
                              <w:pPr>
                                <w:widowControl w:val="0"/>
                                <w:spacing w:after="0"/>
                                <w:jc w:val="center"/>
                                <w:rPr>
                                  <w:rFonts w:ascii="Century Gothic" w:hAnsi="Century Gothic"/>
                                  <w:sz w:val="20"/>
                                  <w:szCs w:val="20"/>
                                  <w14:ligatures w14:val="none"/>
                                </w:rPr>
                              </w:pPr>
                              <w:r w:rsidRPr="00CC17C3">
                                <w:rPr>
                                  <w:rFonts w:ascii="Century Gothic" w:hAnsi="Century Gothic"/>
                                  <w:sz w:val="20"/>
                                  <w:szCs w:val="20"/>
                                  <w14:ligatures w14:val="none"/>
                                </w:rPr>
                                <w:t>Dr D Ganesh  Dr S K L Hay  Mrs C Hedges  Dr S Peachey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7B848" id="Group 1" o:spid="_x0000_s1026" style="position:absolute;left:0;text-align:left;margin-left:0;margin-top:-.05pt;width:452.55pt;height:108.1pt;z-index:251659264" coordorigin="10729,10826" coordsize="5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">
                <v:shapetype id="_x0000_t202" coordsize="21600,21600" o:spt="202" path="m,l,21600r21600,l21600,xe">
                  <v:stroke joinstyle="miter"/>
                  <v:path gradientshapeok="t" o:connecttype="rect"/>
                </v:shapetype>
                <v:shape id="Text Box 3" o:spid="_x0000_s1027" type="#_x0000_t202" style="position:absolute;left:10729;top:10850;width:57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" filled="f" fillcolor="#5b9bd5" strokeweight="2pt">
                  <v:shadow color="black [0]"/>
                  <v:textbox inset="2.88pt,2.88pt,2.88pt,2.88pt">
                    <w:txbxContent>
                      <w:p w14:paraId="0864AEEB" w14:textId="77777777" w:rsidR="00CC17C3" w:rsidRDefault="00CC17C3" w:rsidP="00CC17C3">
                        <w:pPr>
                          <w:widowControl w:val="0"/>
                          <w:spacing w:after="0"/>
                          <w:jc w:val="center"/>
                          <w:rPr>
                            <w:rFonts w:ascii="Century Gothic" w:hAnsi="Century Gothic"/>
                            <w:color w:val="3F3F3F"/>
                            <w14:ligatures w14:val="none"/>
                          </w:rPr>
                        </w:pPr>
                        <w:r>
                          <w:rPr>
                            <w:rFonts w:ascii="Century Gothic" w:hAnsi="Century Gothic"/>
                            <w:color w:val="3F3F3F"/>
                            <w14:ligatures w14:val="none"/>
                          </w:rPr>
                          <w:t> </w:t>
                        </w:r>
                      </w:p>
                      <w:p w14:paraId="19971696" w14:textId="77777777" w:rsidR="00CC17C3" w:rsidRDefault="00CC17C3" w:rsidP="00CC17C3">
                        <w:pPr>
                          <w:widowControl w:val="0"/>
                          <w:spacing w:after="0"/>
                          <w:jc w:val="center"/>
                          <w:rPr>
                            <w:rFonts w:ascii="Century Gothic" w:hAnsi="Century Gothic"/>
                            <w:b/>
                            <w:bCs/>
                            <w:color w:val="3F3F3F"/>
                            <w14:ligatures w14:val="none"/>
                          </w:rPr>
                        </w:pPr>
                        <w:r>
                          <w:rPr>
                            <w:rFonts w:ascii="Century Gothic" w:hAnsi="Century Gothic"/>
                            <w:b/>
                            <w:bCs/>
                            <w:color w:val="3F3F3F"/>
                            <w14:ligatures w14:val="none"/>
                          </w:rPr>
                          <w:t>Mowbray Square Medical Centre, Harrogate, North Yorkshire HG1 5AR</w:t>
                        </w:r>
                      </w:p>
                      <w:p w14:paraId="544A2838" w14:textId="77777777" w:rsidR="00CC17C3" w:rsidRDefault="00CC17C3" w:rsidP="00CC17C3">
                        <w:pPr>
                          <w:widowControl w:val="0"/>
                          <w:jc w:val="center"/>
                          <w:rPr>
                            <w:rFonts w:ascii="Century Gothic" w:hAnsi="Century Gothic"/>
                            <w:b/>
                            <w:bCs/>
                            <w:color w:val="3F3F3F"/>
                            <w14:ligatures w14:val="none"/>
                          </w:rPr>
                        </w:pPr>
                        <w:r>
                          <w:rPr>
                            <w:rFonts w:ascii="Century Gothic" w:hAnsi="Century Gothic"/>
                            <w:b/>
                            <w:bCs/>
                            <w:color w:val="3F3F3F"/>
                            <w14:ligatures w14:val="none"/>
                          </w:rPr>
                          <w:t xml:space="preserve"> 01423 503218      spa.surgery@nhs.net</w:t>
                        </w:r>
                      </w:p>
                      <w:p w14:paraId="3BF5E13C" w14:textId="77777777" w:rsidR="00CC17C3" w:rsidRDefault="00CC17C3" w:rsidP="00CC17C3">
                        <w:pPr>
                          <w:widowControl w:val="0"/>
                          <w:jc w:val="center"/>
                          <w:rPr>
                            <w:rFonts w:ascii="Century Gothic" w:hAnsi="Century Gothic"/>
                            <w:color w:val="3F3F3F"/>
                            <w14:ligatures w14:val="none"/>
                          </w:rPr>
                        </w:pPr>
                        <w:r>
                          <w:rPr>
                            <w:rFonts w:ascii="Century Gothic" w:hAnsi="Century Gothic"/>
                            <w:color w:val="3F3F3F"/>
                            <w14:ligatures w14:val="none"/>
                          </w:rPr>
                          <w:t> </w:t>
                        </w:r>
                      </w:p>
                    </w:txbxContent>
                  </v:textbox>
                </v:shape>
                <v:shape id="Text Box 4" o:spid="_x0000_s1028" type="#_x0000_t202" style="position:absolute;left:10862;top:10826;width:295;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" stroked="f" strokecolor="black [0]" strokeweight="2pt">
                  <v:shadow color="black [0]"/>
                  <v:textbox inset="2.88pt,2.88pt,2.88pt,2.88pt">
                    <w:txbxContent>
                      <w:p w14:paraId="62CE7C0F" w14:textId="77777777" w:rsidR="00CC17C3" w:rsidRDefault="00CC17C3" w:rsidP="00CC17C3">
                        <w:pPr>
                          <w:widowControl w:val="0"/>
                          <w:jc w:val="center"/>
                          <w:rPr>
                            <w:rFonts w:ascii="Century Gothic" w:hAnsi="Century Gothic"/>
                            <w:b/>
                            <w:bCs/>
                            <w:sz w:val="48"/>
                            <w:szCs w:val="48"/>
                            <w14:ligatures w14:val="none"/>
                          </w:rPr>
                        </w:pPr>
                        <w:r>
                          <w:rPr>
                            <w:rFonts w:ascii="Century Gothic" w:hAnsi="Century Gothic"/>
                            <w:b/>
                            <w:bCs/>
                            <w:sz w:val="48"/>
                            <w:szCs w:val="48"/>
                            <w14:ligatures w14:val="none"/>
                          </w:rPr>
                          <w:t>THE SPA SURGERY</w:t>
                        </w:r>
                      </w:p>
                    </w:txbxContent>
                  </v:textbox>
                </v:shape>
                <v:shape id="Text Box 5" o:spid="_x0000_s1029" type="#_x0000_t202" style="position:absolute;left:10832;top:10929;width:357;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" stroked="f" strokecolor="black [0]" strokeweight="2pt">
                  <v:shadow color="black [0]"/>
                  <v:textbox inset="2.88pt,2.88pt,2.88pt,2.88pt">
                    <w:txbxContent>
                      <w:p w14:paraId="267A2D4F" w14:textId="77777777" w:rsidR="00CC17C3" w:rsidRPr="00CC17C3" w:rsidRDefault="00CC17C3" w:rsidP="00CC17C3">
                        <w:pPr>
                          <w:widowControl w:val="0"/>
                          <w:spacing w:after="0"/>
                          <w:jc w:val="center"/>
                          <w:rPr>
                            <w:rFonts w:ascii="Century Gothic" w:hAnsi="Century Gothic"/>
                            <w:sz w:val="20"/>
                            <w:szCs w:val="20"/>
                            <w14:ligatures w14:val="none"/>
                          </w:rPr>
                        </w:pPr>
                        <w:r w:rsidRPr="00CC17C3">
                          <w:rPr>
                            <w:rFonts w:ascii="Century Gothic" w:hAnsi="Century Gothic"/>
                            <w:sz w:val="20"/>
                            <w:szCs w:val="20"/>
                            <w14:ligatures w14:val="none"/>
                          </w:rPr>
                          <w:t>Dr D Ganesh  Dr S K L Hay  Mrs C Hedges  Dr S Peachey</w:t>
                        </w:r>
                      </w:p>
                    </w:txbxContent>
                  </v:textbox>
                </v:shape>
              </v:group>
            </w:pict>
          </mc:Fallback>
        </mc:AlternateContent>
      </w:r>
      <w:r w:rsidR="00945043" w:rsidRPr="00CC17C3">
        <w:rPr>
          <w:rFonts w:ascii="Century Gothic" w:hAnsi="Century Gothic" w:cs="Calibri"/>
          <w:b/>
          <w:bCs/>
          <w:sz w:val="48"/>
          <w:szCs w:val="48"/>
          <w14:ligatures w14:val="none"/>
        </w:rPr>
        <w:t>THE SPA SURGERY</w:t>
      </w:r>
    </w:p>
    <w:p w14:paraId="4D6FE8AA" w14:textId="77777777" w:rsidR="00945043" w:rsidRPr="00CC17C3" w:rsidRDefault="00945043" w:rsidP="00F62932">
      <w:pPr>
        <w:rPr>
          <w:rFonts w:ascii="Century Gothic" w:hAnsi="Century Gothic" w:cs="Calibri"/>
          <w:b/>
          <w:bCs/>
          <w:sz w:val="10"/>
          <w:szCs w:val="10"/>
          <w:u w:val="single"/>
        </w:rPr>
      </w:pPr>
    </w:p>
    <w:p w14:paraId="487EF385" w14:textId="77777777" w:rsidR="00CC17C3" w:rsidRDefault="00CC17C3" w:rsidP="00895BFE">
      <w:pPr>
        <w:jc w:val="center"/>
        <w:rPr>
          <w:rFonts w:ascii="Century Gothic" w:hAnsi="Century Gothic" w:cs="Calibri"/>
          <w:b/>
          <w:bCs/>
          <w:color w:val="0070C0"/>
          <w:sz w:val="28"/>
          <w:szCs w:val="28"/>
        </w:rPr>
      </w:pPr>
    </w:p>
    <w:p w14:paraId="0E1CF80C" w14:textId="77777777" w:rsidR="00CC17C3" w:rsidRDefault="00CC17C3" w:rsidP="00CC17C3">
      <w:pPr>
        <w:rPr>
          <w:rFonts w:ascii="Century Gothic" w:hAnsi="Century Gothic" w:cs="Calibri"/>
          <w:b/>
          <w:bCs/>
          <w:color w:val="0070C0"/>
          <w:sz w:val="28"/>
          <w:szCs w:val="28"/>
        </w:rPr>
      </w:pPr>
    </w:p>
    <w:p w14:paraId="788E1C70" w14:textId="77777777" w:rsidR="00CC17C3" w:rsidRDefault="00CC17C3" w:rsidP="00CC17C3">
      <w:pPr>
        <w:rPr>
          <w:rFonts w:ascii="Century Gothic" w:hAnsi="Century Gothic" w:cs="Calibri"/>
          <w:b/>
          <w:bCs/>
          <w:color w:val="0070C0"/>
          <w:sz w:val="28"/>
          <w:szCs w:val="28"/>
        </w:rPr>
      </w:pPr>
    </w:p>
    <w:p w14:paraId="1BB2D1A1" w14:textId="3785410A" w:rsidR="00F62932" w:rsidRPr="00CC17C3" w:rsidRDefault="00F62932" w:rsidP="00895BFE">
      <w:pPr>
        <w:jc w:val="center"/>
        <w:rPr>
          <w:rFonts w:ascii="Century Gothic" w:hAnsi="Century Gothic" w:cs="Calibri"/>
          <w:b/>
          <w:bCs/>
          <w:color w:val="0070C0"/>
          <w:sz w:val="28"/>
          <w:szCs w:val="28"/>
        </w:rPr>
      </w:pPr>
      <w:r w:rsidRPr="00CC17C3">
        <w:rPr>
          <w:rFonts w:ascii="Century Gothic" w:hAnsi="Century Gothic" w:cs="Calibri"/>
          <w:b/>
          <w:bCs/>
          <w:color w:val="0070C0"/>
          <w:sz w:val="28"/>
          <w:szCs w:val="28"/>
        </w:rPr>
        <w:t>Shared Care Requests from Non-NHS Hormone Treatment Providers</w:t>
      </w:r>
    </w:p>
    <w:p w14:paraId="3620D6C5" w14:textId="2CB537A8" w:rsidR="00F62932" w:rsidRPr="00CC17C3" w:rsidRDefault="00F62932" w:rsidP="00F62932">
      <w:pPr>
        <w:rPr>
          <w:rFonts w:ascii="Century Gothic" w:hAnsi="Century Gothic" w:cs="Calibri"/>
          <w:sz w:val="22"/>
          <w:szCs w:val="22"/>
        </w:rPr>
      </w:pPr>
      <w:r w:rsidRPr="00CC17C3">
        <w:rPr>
          <w:rFonts w:ascii="Century Gothic" w:hAnsi="Century Gothic" w:cs="Calibri"/>
          <w:b/>
          <w:bCs/>
          <w:sz w:val="22"/>
          <w:szCs w:val="22"/>
        </w:rPr>
        <w:t xml:space="preserve">As a practice, it is our policy to not accept </w:t>
      </w:r>
      <w:r w:rsidR="00583749" w:rsidRPr="00CC17C3">
        <w:rPr>
          <w:rFonts w:ascii="Century Gothic" w:hAnsi="Century Gothic" w:cs="Calibri"/>
          <w:b/>
          <w:bCs/>
          <w:sz w:val="22"/>
          <w:szCs w:val="22"/>
        </w:rPr>
        <w:t>'</w:t>
      </w:r>
      <w:r w:rsidRPr="00CC17C3">
        <w:rPr>
          <w:rFonts w:ascii="Century Gothic" w:hAnsi="Century Gothic" w:cs="Calibri"/>
          <w:b/>
          <w:bCs/>
          <w:sz w:val="22"/>
          <w:szCs w:val="22"/>
        </w:rPr>
        <w:t>shared care’ requests from non-NHS providers to prescribe or monitor medications for gender dysphoria.</w:t>
      </w:r>
    </w:p>
    <w:p w14:paraId="24DC0FC5" w14:textId="1B73C8B6"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We</w:t>
      </w:r>
      <w:r w:rsidR="00CC17C3" w:rsidRPr="00CC17C3">
        <w:rPr>
          <w:rFonts w:ascii="Century Gothic" w:hAnsi="Century Gothic" w:cs="Calibri"/>
          <w:sz w:val="22"/>
          <w:szCs w:val="22"/>
        </w:rPr>
        <w:t xml:space="preserve"> welcome any patient with gender dysphoria and</w:t>
      </w:r>
      <w:r w:rsidRPr="00CC17C3">
        <w:rPr>
          <w:rFonts w:ascii="Century Gothic" w:hAnsi="Century Gothic" w:cs="Calibri"/>
          <w:sz w:val="22"/>
          <w:szCs w:val="22"/>
        </w:rPr>
        <w:t xml:space="preserve"> will continue taking on prescribing and monitoring under shared care agreements for patients that have been started on treatment by an NHS gender identity clinic.</w:t>
      </w:r>
    </w:p>
    <w:p w14:paraId="2955C7FE" w14:textId="1D947176"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 xml:space="preserve">Gender identity clinics are commissioned by NHS England and there are currently eight clinics available in England. The nearest clinic to Harrogate is </w:t>
      </w:r>
      <w:hyperlink r:id="rId4" w:history="1">
        <w:r w:rsidRPr="00CC17C3">
          <w:rPr>
            <w:rStyle w:val="Hyperlink"/>
            <w:rFonts w:ascii="Century Gothic" w:hAnsi="Century Gothic" w:cs="Calibri"/>
            <w:sz w:val="22"/>
            <w:szCs w:val="22"/>
          </w:rPr>
          <w:t>Leeds Gender Identity Service</w:t>
        </w:r>
      </w:hyperlink>
      <w:r w:rsidRPr="00CC17C3">
        <w:rPr>
          <w:rFonts w:ascii="Century Gothic" w:hAnsi="Century Gothic" w:cs="Calibri"/>
          <w:sz w:val="22"/>
          <w:szCs w:val="22"/>
        </w:rPr>
        <w:t>.</w:t>
      </w:r>
    </w:p>
    <w:p w14:paraId="5AE6236E" w14:textId="77777777" w:rsidR="00F62932" w:rsidRPr="00CC17C3" w:rsidRDefault="00F62932" w:rsidP="00F62932">
      <w:pPr>
        <w:rPr>
          <w:rFonts w:ascii="Century Gothic" w:hAnsi="Century Gothic" w:cs="Calibri"/>
          <w:sz w:val="22"/>
          <w:szCs w:val="22"/>
        </w:rPr>
      </w:pPr>
      <w:hyperlink r:id="rId5" w:tgtFrame="_blank" w:history="1">
        <w:r w:rsidRPr="00CC17C3">
          <w:rPr>
            <w:rStyle w:val="Hyperlink"/>
            <w:rFonts w:ascii="Century Gothic" w:hAnsi="Century Gothic" w:cs="Calibri"/>
            <w:sz w:val="22"/>
            <w:szCs w:val="22"/>
          </w:rPr>
          <w:t> How to find an NHS gender dysphoria clinic – NHS (www.nhs.uk)</w:t>
        </w:r>
      </w:hyperlink>
    </w:p>
    <w:p w14:paraId="49EA09BA" w14:textId="3F24F8CE"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These are multi-disciplinary NHS clinics consisting of doctors, nurses and psychologists, and cover issues such a fertility preservation, psychological support, medication and surgery.</w:t>
      </w:r>
    </w:p>
    <w:p w14:paraId="32840B73" w14:textId="0AB76652"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 xml:space="preserve">Unfortunately, these clinics cannot keep pace with the growing demand for these services and the average waiting times are currently more than three years. </w:t>
      </w:r>
      <w:r w:rsidR="00CC17C3" w:rsidRPr="00CC17C3">
        <w:rPr>
          <w:rFonts w:ascii="Century Gothic" w:hAnsi="Century Gothic" w:cs="Calibri"/>
          <w:sz w:val="22"/>
          <w:szCs w:val="22"/>
        </w:rPr>
        <w:t>At The Spa Surgery</w:t>
      </w:r>
      <w:r w:rsidRPr="00CC17C3">
        <w:rPr>
          <w:rFonts w:ascii="Century Gothic" w:hAnsi="Century Gothic" w:cs="Calibri"/>
          <w:sz w:val="22"/>
          <w:szCs w:val="22"/>
        </w:rPr>
        <w:t xml:space="preserve"> we feel this is unacceptable and belie</w:t>
      </w:r>
      <w:r w:rsidR="00583749" w:rsidRPr="00CC17C3">
        <w:rPr>
          <w:rFonts w:ascii="Century Gothic" w:hAnsi="Century Gothic" w:cs="Calibri"/>
          <w:sz w:val="22"/>
          <w:szCs w:val="22"/>
        </w:rPr>
        <w:t>v</w:t>
      </w:r>
      <w:r w:rsidRPr="00CC17C3">
        <w:rPr>
          <w:rFonts w:ascii="Century Gothic" w:hAnsi="Century Gothic" w:cs="Calibri"/>
          <w:sz w:val="22"/>
          <w:szCs w:val="22"/>
        </w:rPr>
        <w:t>e there should be more equitable care for the transgender community. This would involve not only more timely access to specialist care but also continued resources to fund and train GPs to maintain prescribing and monitoring.</w:t>
      </w:r>
    </w:p>
    <w:p w14:paraId="0EB7FD51" w14:textId="77777777"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As a result of these long NHS waiting times, people are seeking private treatment, often through on-line providers. Many private transgender clinics will initiate medication but then request that further prescriptions and monitoring are accessed from the GP.</w:t>
      </w:r>
    </w:p>
    <w:p w14:paraId="140E757B" w14:textId="34DDE4A8" w:rsidR="00CC17C3" w:rsidRPr="00CC17C3" w:rsidRDefault="00F62932" w:rsidP="00F62932">
      <w:pPr>
        <w:rPr>
          <w:rFonts w:ascii="Century Gothic" w:hAnsi="Century Gothic" w:cs="Calibri"/>
          <w:sz w:val="22"/>
          <w:szCs w:val="22"/>
        </w:rPr>
      </w:pPr>
      <w:r w:rsidRPr="00CC17C3">
        <w:rPr>
          <w:rFonts w:ascii="Century Gothic" w:hAnsi="Century Gothic" w:cs="Calibri"/>
          <w:sz w:val="22"/>
          <w:szCs w:val="22"/>
        </w:rPr>
        <w:t xml:space="preserve">As a practice, we have carefully considered these requests and </w:t>
      </w:r>
      <w:r w:rsidR="00CC17C3" w:rsidRPr="00CC17C3">
        <w:rPr>
          <w:rFonts w:ascii="Century Gothic" w:hAnsi="Century Gothic" w:cs="Calibri"/>
          <w:sz w:val="22"/>
          <w:szCs w:val="22"/>
        </w:rPr>
        <w:t>regrettably</w:t>
      </w:r>
      <w:r w:rsidRPr="00CC17C3">
        <w:rPr>
          <w:rFonts w:ascii="Century Gothic" w:hAnsi="Century Gothic" w:cs="Calibri"/>
          <w:sz w:val="22"/>
          <w:szCs w:val="22"/>
        </w:rPr>
        <w:t xml:space="preserve">, we cannot support the prescribing and monitoring of transgender medications from private clinics. </w:t>
      </w:r>
    </w:p>
    <w:p w14:paraId="437DCB4A" w14:textId="38DD1229"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There are several reasons for this:</w:t>
      </w:r>
    </w:p>
    <w:p w14:paraId="4BECBEEF" w14:textId="77777777"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1. It is challenging for us to be assured of the quality and governance aspects of private clinics.</w:t>
      </w:r>
    </w:p>
    <w:p w14:paraId="5465A3A0" w14:textId="5ADF0A37"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lastRenderedPageBreak/>
        <w:t xml:space="preserve">2. These are specialist medications which need to be shared between GPs and specialists, and there is no guarantee of </w:t>
      </w:r>
      <w:r w:rsidR="00583749" w:rsidRPr="00CC17C3">
        <w:rPr>
          <w:rFonts w:ascii="Century Gothic" w:hAnsi="Century Gothic" w:cs="Calibri"/>
          <w:sz w:val="22"/>
          <w:szCs w:val="22"/>
        </w:rPr>
        <w:t>continued</w:t>
      </w:r>
      <w:r w:rsidRPr="00CC17C3">
        <w:rPr>
          <w:rFonts w:ascii="Century Gothic" w:hAnsi="Century Gothic" w:cs="Calibri"/>
          <w:sz w:val="22"/>
          <w:szCs w:val="22"/>
        </w:rPr>
        <w:t xml:space="preserve"> specialist care within the private sector.  It is highly specialised treatment and is outside the scope of practice for our clinicians.</w:t>
      </w:r>
    </w:p>
    <w:p w14:paraId="5A4311EE" w14:textId="77777777"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3. General practice does not currently have the capacity to meet this additional demand from the private sector. There is no funding available to cover this extra clinical and administrative work.</w:t>
      </w:r>
    </w:p>
    <w:p w14:paraId="5A13CB60" w14:textId="77777777"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We are aware that this is an unwelcome position for those who are struggling to access the care that they need, but feel it is not safe for us to continue to take on this clinical work from private providers.</w:t>
      </w:r>
    </w:p>
    <w:p w14:paraId="446DFBA4" w14:textId="1A0B28E6"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 xml:space="preserve">We can refer new patients to NHS gender identity </w:t>
      </w:r>
      <w:proofErr w:type="gramStart"/>
      <w:r w:rsidRPr="00CC17C3">
        <w:rPr>
          <w:rFonts w:ascii="Century Gothic" w:hAnsi="Century Gothic" w:cs="Calibri"/>
          <w:sz w:val="22"/>
          <w:szCs w:val="22"/>
        </w:rPr>
        <w:t>clinics</w:t>
      </w:r>
      <w:proofErr w:type="gramEnd"/>
      <w:r w:rsidRPr="00CC17C3">
        <w:rPr>
          <w:rFonts w:ascii="Century Gothic" w:hAnsi="Century Gothic" w:cs="Calibri"/>
          <w:sz w:val="22"/>
          <w:szCs w:val="22"/>
        </w:rPr>
        <w:t xml:space="preserve"> and we can refer patients back who have been lost to follow up or discharged and need to gain access to an NHS service again. Please feel free to make a GP appointment to discuss this</w:t>
      </w:r>
      <w:r w:rsidR="00583749" w:rsidRPr="00CC17C3">
        <w:rPr>
          <w:rFonts w:ascii="Century Gothic" w:hAnsi="Century Gothic" w:cs="Calibri"/>
          <w:sz w:val="22"/>
          <w:szCs w:val="22"/>
        </w:rPr>
        <w:t>.</w:t>
      </w:r>
    </w:p>
    <w:p w14:paraId="4A32CFD1" w14:textId="43E7ABEF"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You can access direct help and information from Gendered Intelligence, a charity that supports patients waiting for treatment </w:t>
      </w:r>
      <w:hyperlink r:id="rId6" w:tgtFrame="_blank" w:history="1">
        <w:r w:rsidRPr="00CC17C3">
          <w:rPr>
            <w:rStyle w:val="Hyperlink"/>
            <w:rFonts w:ascii="Century Gothic" w:hAnsi="Century Gothic" w:cs="Calibri"/>
            <w:sz w:val="22"/>
            <w:szCs w:val="22"/>
          </w:rPr>
          <w:t>Support Line | Gendered Intelligence</w:t>
        </w:r>
      </w:hyperlink>
    </w:p>
    <w:p w14:paraId="28E248A5" w14:textId="1EBD32A4" w:rsidR="00F62932" w:rsidRPr="00CF2D2F" w:rsidRDefault="00F62932" w:rsidP="00F62932">
      <w:pPr>
        <w:rPr>
          <w:rFonts w:ascii="Century Gothic" w:hAnsi="Century Gothic" w:cs="Calibri"/>
          <w:b/>
          <w:bCs/>
          <w:sz w:val="22"/>
          <w:szCs w:val="22"/>
        </w:rPr>
      </w:pPr>
      <w:r w:rsidRPr="00CF2D2F">
        <w:rPr>
          <w:rFonts w:ascii="Century Gothic" w:hAnsi="Century Gothic" w:cs="Calibri"/>
          <w:b/>
          <w:bCs/>
          <w:sz w:val="22"/>
          <w:szCs w:val="22"/>
        </w:rPr>
        <w:t>References:</w:t>
      </w:r>
    </w:p>
    <w:p w14:paraId="3AC4DD29" w14:textId="6D1752AC"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 xml:space="preserve">BMA guidance on </w:t>
      </w:r>
      <w:hyperlink r:id="rId7" w:history="1">
        <w:r w:rsidRPr="00CC17C3">
          <w:rPr>
            <w:rStyle w:val="Hyperlink"/>
            <w:rFonts w:ascii="Century Gothic" w:hAnsi="Century Gothic" w:cs="Calibri"/>
            <w:sz w:val="22"/>
            <w:szCs w:val="22"/>
          </w:rPr>
          <w:t>Gender incongruence in primary care</w:t>
        </w:r>
      </w:hyperlink>
      <w:r w:rsidRPr="00CC17C3">
        <w:rPr>
          <w:rFonts w:ascii="Century Gothic" w:hAnsi="Century Gothic" w:cs="Calibri"/>
          <w:sz w:val="22"/>
          <w:szCs w:val="22"/>
        </w:rPr>
        <w:t xml:space="preserve">   June 2024</w:t>
      </w:r>
    </w:p>
    <w:p w14:paraId="20DBBDC4" w14:textId="2835445C"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 xml:space="preserve">BMA </w:t>
      </w:r>
      <w:hyperlink r:id="rId8" w:history="1">
        <w:r w:rsidRPr="00CC17C3">
          <w:rPr>
            <w:rStyle w:val="Hyperlink"/>
            <w:rFonts w:ascii="Century Gothic" w:hAnsi="Century Gothic" w:cs="Calibri"/>
            <w:sz w:val="22"/>
            <w:szCs w:val="22"/>
          </w:rPr>
          <w:t>Principles for Shared Care Prescribing</w:t>
        </w:r>
      </w:hyperlink>
      <w:r w:rsidRPr="00CC17C3">
        <w:rPr>
          <w:rFonts w:ascii="Century Gothic" w:hAnsi="Century Gothic" w:cs="Calibri"/>
          <w:sz w:val="22"/>
          <w:szCs w:val="22"/>
        </w:rPr>
        <w:t xml:space="preserve">    July 2025</w:t>
      </w:r>
    </w:p>
    <w:p w14:paraId="06EAFD86" w14:textId="45D758F6" w:rsidR="00F62932" w:rsidRPr="00CC17C3" w:rsidRDefault="00F62932" w:rsidP="00F62932">
      <w:pPr>
        <w:rPr>
          <w:rFonts w:ascii="Century Gothic" w:hAnsi="Century Gothic" w:cs="Calibri"/>
          <w:sz w:val="22"/>
          <w:szCs w:val="22"/>
        </w:rPr>
      </w:pPr>
      <w:r w:rsidRPr="00CC17C3">
        <w:rPr>
          <w:rFonts w:ascii="Century Gothic" w:hAnsi="Century Gothic" w:cs="Calibri"/>
          <w:sz w:val="22"/>
          <w:szCs w:val="22"/>
        </w:rPr>
        <w:t xml:space="preserve">RCGP position statement </w:t>
      </w:r>
      <w:hyperlink r:id="rId9" w:history="1">
        <w:r w:rsidRPr="00CC17C3">
          <w:rPr>
            <w:rStyle w:val="Hyperlink"/>
            <w:rFonts w:ascii="Century Gothic" w:hAnsi="Century Gothic" w:cs="Calibri"/>
            <w:sz w:val="22"/>
            <w:szCs w:val="22"/>
          </w:rPr>
          <w:t>Transgender care</w:t>
        </w:r>
      </w:hyperlink>
      <w:r w:rsidRPr="00CC17C3">
        <w:rPr>
          <w:rFonts w:ascii="Century Gothic" w:hAnsi="Century Gothic" w:cs="Calibri"/>
          <w:sz w:val="22"/>
          <w:szCs w:val="22"/>
        </w:rPr>
        <w:t xml:space="preserve">   March 2025</w:t>
      </w:r>
    </w:p>
    <w:p w14:paraId="587A8453" w14:textId="77777777" w:rsidR="00F62932" w:rsidRPr="00CC17C3" w:rsidRDefault="00F62932">
      <w:pPr>
        <w:rPr>
          <w:rFonts w:ascii="Century Gothic" w:hAnsi="Century Gothic" w:cs="Calibri"/>
          <w:sz w:val="22"/>
          <w:szCs w:val="22"/>
        </w:rPr>
      </w:pPr>
    </w:p>
    <w:sectPr w:rsidR="00F62932" w:rsidRPr="00CC17C3" w:rsidSect="0094504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32"/>
    <w:rsid w:val="00583749"/>
    <w:rsid w:val="006739BF"/>
    <w:rsid w:val="006832E9"/>
    <w:rsid w:val="006C5298"/>
    <w:rsid w:val="00895BFE"/>
    <w:rsid w:val="00945043"/>
    <w:rsid w:val="00AE5A06"/>
    <w:rsid w:val="00CC17C3"/>
    <w:rsid w:val="00CF2D2F"/>
    <w:rsid w:val="00F325A3"/>
    <w:rsid w:val="00F62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57DD"/>
  <w15:chartTrackingRefBased/>
  <w15:docId w15:val="{61FC899A-0DEA-41DD-9473-3A581DE9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32"/>
    <w:rPr>
      <w:rFonts w:eastAsiaTheme="majorEastAsia" w:cstheme="majorBidi"/>
      <w:color w:val="272727" w:themeColor="text1" w:themeTint="D8"/>
    </w:rPr>
  </w:style>
  <w:style w:type="paragraph" w:styleId="Title">
    <w:name w:val="Title"/>
    <w:basedOn w:val="Normal"/>
    <w:next w:val="Normal"/>
    <w:link w:val="TitleChar"/>
    <w:uiPriority w:val="10"/>
    <w:qFormat/>
    <w:rsid w:val="00F62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32"/>
    <w:pPr>
      <w:spacing w:before="160"/>
      <w:jc w:val="center"/>
    </w:pPr>
    <w:rPr>
      <w:i/>
      <w:iCs/>
      <w:color w:val="404040" w:themeColor="text1" w:themeTint="BF"/>
    </w:rPr>
  </w:style>
  <w:style w:type="character" w:customStyle="1" w:styleId="QuoteChar">
    <w:name w:val="Quote Char"/>
    <w:basedOn w:val="DefaultParagraphFont"/>
    <w:link w:val="Quote"/>
    <w:uiPriority w:val="29"/>
    <w:rsid w:val="00F62932"/>
    <w:rPr>
      <w:i/>
      <w:iCs/>
      <w:color w:val="404040" w:themeColor="text1" w:themeTint="BF"/>
    </w:rPr>
  </w:style>
  <w:style w:type="paragraph" w:styleId="ListParagraph">
    <w:name w:val="List Paragraph"/>
    <w:basedOn w:val="Normal"/>
    <w:uiPriority w:val="34"/>
    <w:qFormat/>
    <w:rsid w:val="00F62932"/>
    <w:pPr>
      <w:ind w:left="720"/>
      <w:contextualSpacing/>
    </w:pPr>
  </w:style>
  <w:style w:type="character" w:styleId="IntenseEmphasis">
    <w:name w:val="Intense Emphasis"/>
    <w:basedOn w:val="DefaultParagraphFont"/>
    <w:uiPriority w:val="21"/>
    <w:qFormat/>
    <w:rsid w:val="00F62932"/>
    <w:rPr>
      <w:i/>
      <w:iCs/>
      <w:color w:val="0F4761" w:themeColor="accent1" w:themeShade="BF"/>
    </w:rPr>
  </w:style>
  <w:style w:type="paragraph" w:styleId="IntenseQuote">
    <w:name w:val="Intense Quote"/>
    <w:basedOn w:val="Normal"/>
    <w:next w:val="Normal"/>
    <w:link w:val="IntenseQuoteChar"/>
    <w:uiPriority w:val="30"/>
    <w:qFormat/>
    <w:rsid w:val="00F62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32"/>
    <w:rPr>
      <w:i/>
      <w:iCs/>
      <w:color w:val="0F4761" w:themeColor="accent1" w:themeShade="BF"/>
    </w:rPr>
  </w:style>
  <w:style w:type="character" w:styleId="IntenseReference">
    <w:name w:val="Intense Reference"/>
    <w:basedOn w:val="DefaultParagraphFont"/>
    <w:uiPriority w:val="32"/>
    <w:qFormat/>
    <w:rsid w:val="00F62932"/>
    <w:rPr>
      <w:b/>
      <w:bCs/>
      <w:smallCaps/>
      <w:color w:val="0F4761" w:themeColor="accent1" w:themeShade="BF"/>
      <w:spacing w:val="5"/>
    </w:rPr>
  </w:style>
  <w:style w:type="character" w:styleId="Hyperlink">
    <w:name w:val="Hyperlink"/>
    <w:basedOn w:val="DefaultParagraphFont"/>
    <w:uiPriority w:val="99"/>
    <w:unhideWhenUsed/>
    <w:rsid w:val="00F62932"/>
    <w:rPr>
      <w:color w:val="467886" w:themeColor="hyperlink"/>
      <w:u w:val="single"/>
    </w:rPr>
  </w:style>
  <w:style w:type="character" w:styleId="UnresolvedMention">
    <w:name w:val="Unresolved Mention"/>
    <w:basedOn w:val="DefaultParagraphFont"/>
    <w:uiPriority w:val="99"/>
    <w:semiHidden/>
    <w:unhideWhenUsed/>
    <w:rsid w:val="00F62932"/>
    <w:rPr>
      <w:color w:val="605E5C"/>
      <w:shd w:val="clear" w:color="auto" w:fill="E1DFDD"/>
    </w:rPr>
  </w:style>
  <w:style w:type="character" w:styleId="FollowedHyperlink">
    <w:name w:val="FollowedHyperlink"/>
    <w:basedOn w:val="DefaultParagraphFont"/>
    <w:uiPriority w:val="99"/>
    <w:semiHidden/>
    <w:unhideWhenUsed/>
    <w:rsid w:val="00F629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972">
      <w:bodyDiv w:val="1"/>
      <w:marLeft w:val="0"/>
      <w:marRight w:val="0"/>
      <w:marTop w:val="0"/>
      <w:marBottom w:val="0"/>
      <w:divBdr>
        <w:top w:val="none" w:sz="0" w:space="0" w:color="auto"/>
        <w:left w:val="none" w:sz="0" w:space="0" w:color="auto"/>
        <w:bottom w:val="none" w:sz="0" w:space="0" w:color="auto"/>
        <w:right w:val="none" w:sz="0" w:space="0" w:color="auto"/>
      </w:divBdr>
      <w:divsChild>
        <w:div w:id="1345782614">
          <w:marLeft w:val="0"/>
          <w:marRight w:val="0"/>
          <w:marTop w:val="0"/>
          <w:marBottom w:val="0"/>
          <w:divBdr>
            <w:top w:val="none" w:sz="0" w:space="0" w:color="auto"/>
            <w:left w:val="none" w:sz="0" w:space="0" w:color="auto"/>
            <w:bottom w:val="none" w:sz="0" w:space="0" w:color="auto"/>
            <w:right w:val="none" w:sz="0" w:space="0" w:color="auto"/>
          </w:divBdr>
        </w:div>
      </w:divsChild>
    </w:div>
    <w:div w:id="2073193321">
      <w:bodyDiv w:val="1"/>
      <w:marLeft w:val="0"/>
      <w:marRight w:val="0"/>
      <w:marTop w:val="0"/>
      <w:marBottom w:val="0"/>
      <w:divBdr>
        <w:top w:val="none" w:sz="0" w:space="0" w:color="auto"/>
        <w:left w:val="none" w:sz="0" w:space="0" w:color="auto"/>
        <w:bottom w:val="none" w:sz="0" w:space="0" w:color="auto"/>
        <w:right w:val="none" w:sz="0" w:space="0" w:color="auto"/>
      </w:divBdr>
      <w:divsChild>
        <w:div w:id="61067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and-support/gp-practices/prescribing/prescribing-in-general-practice/principles-for-shared-care-prescribing" TargetMode="External"/><Relationship Id="rId3" Type="http://schemas.openxmlformats.org/officeDocument/2006/relationships/webSettings" Target="webSettings.xml"/><Relationship Id="rId7" Type="http://schemas.openxmlformats.org/officeDocument/2006/relationships/hyperlink" Target="https://www.bma.org.uk/advice-and-support/gp-practices/gp-service-provision/managing-patients-with-gender-dysphor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genderedintelligence.co.uk%2Fservices%2F66&amp;data=05%7C02%7Csophie.walker12%40nhs.net%7C567d424257b0475b677208dc853eed0f%7C37c354b285b047f5b22207b48d774ee3%7C0%7C0%7C638531752505990826%7CUnknown%7CTWFpbGZsb3d8eyJWIjoiMC4wLjAwMDAiLCJQIjoiV2luMzIiLCJBTiI6Ik1haWwiLCJXVCI6Mn0%3D%7C0%7C%7C%7C&amp;sdata=NqfUHSfinWeFxLA%2B9hJhuKLwPvr2Pl0f0M42%2Fi94Nco%3D&amp;reserved=0" TargetMode="External"/><Relationship Id="rId11" Type="http://schemas.openxmlformats.org/officeDocument/2006/relationships/theme" Target="theme/theme1.xml"/><Relationship Id="rId5" Type="http://schemas.openxmlformats.org/officeDocument/2006/relationships/hyperlink" Target="https://gbr01.safelinks.protection.outlook.com/?url=https%3A%2F%2Fwww.nhs.uk%2Fnhs-services%2Fhow-to-find-an-nhs-gender-identity-clinic%2F&amp;data=05%7C02%7Csophie.walker12%40nhs.net%7C567d424257b0475b677208dc853eed0f%7C37c354b285b047f5b22207b48d774ee3%7C0%7C0%7C638531752505979514%7CUnknown%7CTWFpbGZsb3d8eyJWIjoiMC4wLjAwMDAiLCJQIjoiV2luMzIiLCJBTiI6Ik1haWwiLCJXVCI6Mn0%3D%7C0%7C%7C%7C&amp;sdata=cT1IjCU1rnC6dek2OUpOu889LqdsiQ1orzoBvZsgsKM%3D&amp;reserved=0" TargetMode="External"/><Relationship Id="rId10" Type="http://schemas.openxmlformats.org/officeDocument/2006/relationships/fontTable" Target="fontTable.xml"/><Relationship Id="rId4" Type="http://schemas.openxmlformats.org/officeDocument/2006/relationships/hyperlink" Target="https://www.leedsandyorkpft.nhs.uk/our-services/gender-identity-service/" TargetMode="External"/><Relationship Id="rId9" Type="http://schemas.openxmlformats.org/officeDocument/2006/relationships/hyperlink" Target="https://www.rcgp.org.uk/representing-you/policy-areas/transgender-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3852</Characters>
  <Application>Microsoft Office Word</Application>
  <DocSecurity>4</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dc:creator>
  <cp:keywords/>
  <dc:description/>
  <cp:lastModifiedBy>BOOTH, Joanne (THE SPA SURGERY)</cp:lastModifiedBy>
  <cp:revision>2</cp:revision>
  <dcterms:created xsi:type="dcterms:W3CDTF">2025-10-20T10:07:00Z</dcterms:created>
  <dcterms:modified xsi:type="dcterms:W3CDTF">2025-10-20T10:07:00Z</dcterms:modified>
</cp:coreProperties>
</file>